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4" w:rsidRDefault="00336DD5">
      <w:pPr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Risultati estratti per l’articolo “Il tabù della prescrizione infermieristica”</w:t>
      </w:r>
    </w:p>
    <w:p w:rsidR="00336DD5" w:rsidRDefault="00336DD5">
      <w:pPr>
        <w:rPr>
          <w:rFonts w:ascii="Times New Roman" w:hAnsi="Times New Roman" w:cs="Times New Roman"/>
          <w:b/>
          <w:i/>
          <w:sz w:val="48"/>
        </w:rPr>
      </w:pPr>
    </w:p>
    <w:p w:rsidR="00336DD5" w:rsidRDefault="00336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questionario è composto di 10 domande tra quesiti a risposta multipla e quesiti a risposta breve, in cui si va a valutare in maniera generale l’argomento trattato, come pure considerazioni personali. I primi 4 quesiti riguardano informazioni generali del partecipante, per poter avere un inquadramento generale del campione esaminato. Gli altri quesiti invece riguardano l’argomento preso in considerazione</w:t>
      </w:r>
      <w:r w:rsidR="00992F24">
        <w:rPr>
          <w:rFonts w:ascii="Times New Roman" w:hAnsi="Times New Roman" w:cs="Times New Roman"/>
          <w:sz w:val="24"/>
        </w:rPr>
        <w:t>. E’</w:t>
      </w:r>
      <w:r w:rsidR="007775E9">
        <w:rPr>
          <w:rFonts w:ascii="Times New Roman" w:hAnsi="Times New Roman" w:cs="Times New Roman"/>
          <w:sz w:val="24"/>
        </w:rPr>
        <w:t xml:space="preserve"> </w:t>
      </w:r>
      <w:r w:rsidR="00992F24">
        <w:rPr>
          <w:rFonts w:ascii="Times New Roman" w:hAnsi="Times New Roman" w:cs="Times New Roman"/>
          <w:sz w:val="24"/>
        </w:rPr>
        <w:t>stata garantita la privacy dei partecipanti, in quanto non sono state richiesti dati personali e sensibili.</w:t>
      </w:r>
      <w:r w:rsidR="007775E9">
        <w:rPr>
          <w:rFonts w:ascii="Times New Roman" w:hAnsi="Times New Roman" w:cs="Times New Roman"/>
          <w:sz w:val="24"/>
        </w:rPr>
        <w:t xml:space="preserve"> E’ stato sviluppato attraverso il software Google Moduli. E’ stato proposto al pubblico</w:t>
      </w:r>
      <w:r w:rsidR="00CD7487">
        <w:rPr>
          <w:rFonts w:ascii="Times New Roman" w:hAnsi="Times New Roman" w:cs="Times New Roman"/>
          <w:sz w:val="24"/>
        </w:rPr>
        <w:t xml:space="preserve"> (infermieri principalmente)</w:t>
      </w:r>
      <w:r w:rsidR="007775E9">
        <w:rPr>
          <w:rFonts w:ascii="Times New Roman" w:hAnsi="Times New Roman" w:cs="Times New Roman"/>
          <w:sz w:val="24"/>
        </w:rPr>
        <w:t xml:space="preserve"> attraverso mezzi di social media (Gruppi e Pagine </w:t>
      </w:r>
      <w:proofErr w:type="spellStart"/>
      <w:r w:rsidR="007775E9">
        <w:rPr>
          <w:rFonts w:ascii="Times New Roman" w:hAnsi="Times New Roman" w:cs="Times New Roman"/>
          <w:sz w:val="24"/>
        </w:rPr>
        <w:t>Facebook</w:t>
      </w:r>
      <w:proofErr w:type="spellEnd"/>
      <w:r w:rsidR="007775E9">
        <w:rPr>
          <w:rFonts w:ascii="Times New Roman" w:hAnsi="Times New Roman" w:cs="Times New Roman"/>
          <w:sz w:val="24"/>
        </w:rPr>
        <w:t>). Al sondaggio hanno partecipato 85 persone.</w:t>
      </w:r>
    </w:p>
    <w:p w:rsidR="007775E9" w:rsidRDefault="00B96B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 primo quesito s’evince che hanno partecipato al sondaggio: il 61,2 % candidati con laurea triennale, il 14,1 % candidati con altri titoli di studio, il 12,9 % candidati con laurea e master di I livello, l’8,2 % candidati con il diploma professionale, e il 3,5 % candidati con laurea magistrale.</w:t>
      </w:r>
    </w:p>
    <w:p w:rsidR="00B96BFA" w:rsidRDefault="00B96B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secondo quesito si sofferma sul </w:t>
      </w:r>
      <w:proofErr w:type="spellStart"/>
      <w:r>
        <w:rPr>
          <w:rFonts w:ascii="Times New Roman" w:hAnsi="Times New Roman" w:cs="Times New Roman"/>
          <w:sz w:val="24"/>
        </w:rPr>
        <w:t>range</w:t>
      </w:r>
      <w:proofErr w:type="spellEnd"/>
      <w:r>
        <w:rPr>
          <w:rFonts w:ascii="Times New Roman" w:hAnsi="Times New Roman" w:cs="Times New Roman"/>
          <w:sz w:val="24"/>
        </w:rPr>
        <w:t xml:space="preserve"> d’età del candidato: il 67,1 % dei candidati rientra tra il </w:t>
      </w:r>
      <w:proofErr w:type="spellStart"/>
      <w:r>
        <w:rPr>
          <w:rFonts w:ascii="Times New Roman" w:hAnsi="Times New Roman" w:cs="Times New Roman"/>
          <w:sz w:val="24"/>
        </w:rPr>
        <w:t>range</w:t>
      </w:r>
      <w:proofErr w:type="spellEnd"/>
      <w:r>
        <w:rPr>
          <w:rFonts w:ascii="Times New Roman" w:hAnsi="Times New Roman" w:cs="Times New Roman"/>
          <w:sz w:val="24"/>
        </w:rPr>
        <w:t xml:space="preserve"> di 22 – 32 anni, </w:t>
      </w:r>
      <w:r w:rsidR="00CD7487">
        <w:rPr>
          <w:rFonts w:ascii="Times New Roman" w:hAnsi="Times New Roman" w:cs="Times New Roman"/>
          <w:sz w:val="24"/>
        </w:rPr>
        <w:t>il 22,4 % dei candidati tra 18 – 22 anni, il 7,1 % dei candidati tra 32 – 42 anni, il 2,4 % dei candidati superiore ai 55 anni, e l’1,2 % dei candidati tra 42 – 55 anni.</w:t>
      </w:r>
    </w:p>
    <w:p w:rsidR="00CD7487" w:rsidRDefault="00CD7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>
            <wp:extent cx="5486400" cy="3200400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7487" w:rsidRDefault="00CD7487">
      <w:pPr>
        <w:rPr>
          <w:rFonts w:ascii="Times New Roman" w:hAnsi="Times New Roman" w:cs="Times New Roman"/>
          <w:sz w:val="24"/>
        </w:rPr>
      </w:pPr>
    </w:p>
    <w:p w:rsidR="00CD7487" w:rsidRDefault="00850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terzo quesito s’incentra sulla professione dell’intervistato: il 56,5 % erano infermieri, il 32,9 %  erano studenti d’infermieristica, l’1,2 % inf. Pediatrici e dirigenti infermieristici, il 5,9 % erano infermieri specializzati, e il 2,4 % erano infermieri dottorandi</w:t>
      </w:r>
    </w:p>
    <w:p w:rsidR="00850B0D" w:rsidRDefault="00850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Passando direttamente al quinto quesito, quest’ultimo si sofferma sul possesso di conoscenze </w:t>
      </w:r>
      <w:r w:rsidR="00C81046">
        <w:rPr>
          <w:rFonts w:ascii="Times New Roman" w:hAnsi="Times New Roman" w:cs="Times New Roman"/>
          <w:sz w:val="24"/>
        </w:rPr>
        <w:t>in ambito farmacologico: il 57,6 % ha sostenuto “ABBASTANZA”, il 31,8 % “POCO”, l’8,2 % “TANTO”, e il 2,4 % “NIENTE”.</w:t>
      </w:r>
    </w:p>
    <w:p w:rsidR="00C81046" w:rsidRDefault="00C81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 sesto quesito , </w:t>
      </w:r>
      <w:proofErr w:type="spellStart"/>
      <w:r>
        <w:rPr>
          <w:rFonts w:ascii="Times New Roman" w:hAnsi="Times New Roman" w:cs="Times New Roman"/>
          <w:sz w:val="24"/>
        </w:rPr>
        <w:t>rigurardante</w:t>
      </w:r>
      <w:proofErr w:type="spellEnd"/>
      <w:r>
        <w:rPr>
          <w:rFonts w:ascii="Times New Roman" w:hAnsi="Times New Roman" w:cs="Times New Roman"/>
          <w:sz w:val="24"/>
        </w:rPr>
        <w:t xml:space="preserve"> la capacità d’applicazione delle conoscenze farmacologiche ai vari contesti </w:t>
      </w:r>
      <w:proofErr w:type="spellStart"/>
      <w:r>
        <w:rPr>
          <w:rFonts w:ascii="Times New Roman" w:hAnsi="Times New Roman" w:cs="Times New Roman"/>
          <w:sz w:val="24"/>
        </w:rPr>
        <w:t>etio-patologici</w:t>
      </w:r>
      <w:proofErr w:type="spellEnd"/>
      <w:r>
        <w:rPr>
          <w:rFonts w:ascii="Times New Roman" w:hAnsi="Times New Roman" w:cs="Times New Roman"/>
          <w:sz w:val="24"/>
        </w:rPr>
        <w:t>: il 51,8 % ha risposto “SI”, il 31,8 % “NON LO SO”, e il 16,5 % ha risposto “NO”</w:t>
      </w:r>
    </w:p>
    <w:p w:rsidR="00C81046" w:rsidRDefault="00C81046" w:rsidP="00C810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>
            <wp:extent cx="5486400" cy="3200400"/>
            <wp:effectExtent l="0" t="0" r="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1046" w:rsidRDefault="00C81046" w:rsidP="00C81046">
      <w:pPr>
        <w:rPr>
          <w:rFonts w:ascii="Times New Roman" w:hAnsi="Times New Roman" w:cs="Times New Roman"/>
          <w:sz w:val="24"/>
        </w:rPr>
      </w:pPr>
    </w:p>
    <w:p w:rsidR="00C81046" w:rsidRDefault="008F5102" w:rsidP="00C81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 quesito “Secondo lei, se l’infermiere riuscisse ad ottenere la possibilità di prescrivere farmaci, vi potrebbe essere un miglioramento dell’autonomia lavorativa?”, i candidati hanno risposto:</w:t>
      </w:r>
    </w:p>
    <w:p w:rsidR="008F5102" w:rsidRDefault="008F5102" w:rsidP="008F510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PIENAMENTE D’ACCORDO – 32,9 %</w:t>
      </w:r>
    </w:p>
    <w:p w:rsidR="008F5102" w:rsidRDefault="008F5102" w:rsidP="008F510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D’ACCORDO – 41,2 %</w:t>
      </w:r>
    </w:p>
    <w:p w:rsidR="008F5102" w:rsidRDefault="008F5102" w:rsidP="008F510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POCO D’ACCORDO – 18,8 %</w:t>
      </w:r>
    </w:p>
    <w:p w:rsidR="008F5102" w:rsidRDefault="008F5102" w:rsidP="008F510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NIENTE D’ACCORDO – 7,1 %</w:t>
      </w:r>
    </w:p>
    <w:p w:rsidR="008F5102" w:rsidRDefault="008F5102" w:rsidP="008F5102">
      <w:pPr>
        <w:rPr>
          <w:rFonts w:ascii="Times New Roman" w:hAnsi="Times New Roman" w:cs="Times New Roman"/>
          <w:sz w:val="24"/>
        </w:rPr>
      </w:pPr>
    </w:p>
    <w:p w:rsidR="009F2366" w:rsidRDefault="009F2366" w:rsidP="008F5102">
      <w:pPr>
        <w:rPr>
          <w:rFonts w:ascii="Times New Roman" w:hAnsi="Times New Roman" w:cs="Times New Roman"/>
          <w:sz w:val="24"/>
        </w:rPr>
      </w:pPr>
    </w:p>
    <w:p w:rsidR="009F2366" w:rsidRDefault="009F2366" w:rsidP="008F5102">
      <w:pPr>
        <w:rPr>
          <w:rFonts w:ascii="Times New Roman" w:hAnsi="Times New Roman" w:cs="Times New Roman"/>
          <w:sz w:val="24"/>
        </w:rPr>
      </w:pPr>
    </w:p>
    <w:p w:rsidR="009F2366" w:rsidRDefault="009F2366" w:rsidP="008F5102">
      <w:pPr>
        <w:rPr>
          <w:rFonts w:ascii="Times New Roman" w:hAnsi="Times New Roman" w:cs="Times New Roman"/>
          <w:sz w:val="24"/>
        </w:rPr>
      </w:pPr>
    </w:p>
    <w:p w:rsidR="009F2366" w:rsidRDefault="009F2366" w:rsidP="008F5102">
      <w:pPr>
        <w:rPr>
          <w:rFonts w:ascii="Times New Roman" w:hAnsi="Times New Roman" w:cs="Times New Roman"/>
          <w:sz w:val="24"/>
        </w:rPr>
      </w:pPr>
    </w:p>
    <w:p w:rsidR="009F2366" w:rsidRDefault="009F2366" w:rsidP="008F5102">
      <w:pPr>
        <w:rPr>
          <w:rFonts w:ascii="Times New Roman" w:hAnsi="Times New Roman" w:cs="Times New Roman"/>
          <w:sz w:val="24"/>
        </w:rPr>
      </w:pPr>
    </w:p>
    <w:p w:rsidR="009F2366" w:rsidRDefault="009F2366" w:rsidP="008F5102">
      <w:pPr>
        <w:rPr>
          <w:rFonts w:ascii="Times New Roman" w:hAnsi="Times New Roman" w:cs="Times New Roman"/>
          <w:sz w:val="24"/>
        </w:rPr>
      </w:pPr>
    </w:p>
    <w:p w:rsidR="009F2366" w:rsidRDefault="009F2366" w:rsidP="008F5102">
      <w:pPr>
        <w:rPr>
          <w:rFonts w:ascii="Times New Roman" w:hAnsi="Times New Roman" w:cs="Times New Roman"/>
          <w:sz w:val="24"/>
        </w:rPr>
      </w:pPr>
    </w:p>
    <w:p w:rsidR="008F5102" w:rsidRDefault="008F5102" w:rsidP="008F51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L’ottavo quesito si sofferma sull’eventuali ripercussioni sulle altre professioni sanitarie a seguito dell’eventuale riconoscimento del potere prescrizionale infermieristico, ed ha visto come risposte: il 48,2 % ha risposto “NO”, il 37,6 % “SI”, e il 14,1 % “NON LO SO”.</w:t>
      </w:r>
    </w:p>
    <w:p w:rsidR="008F5102" w:rsidRDefault="008F5102" w:rsidP="008F51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drawing>
          <wp:inline distT="0" distB="0" distL="0" distR="0">
            <wp:extent cx="5486400" cy="3276600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2366" w:rsidRDefault="009F2366" w:rsidP="008F5102">
      <w:pPr>
        <w:rPr>
          <w:rFonts w:ascii="Times New Roman" w:hAnsi="Times New Roman" w:cs="Times New Roman"/>
          <w:sz w:val="24"/>
        </w:rPr>
      </w:pPr>
    </w:p>
    <w:p w:rsidR="00C05995" w:rsidRDefault="009F2366" w:rsidP="008F51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nono quesito si sofferma sulla necessità di un maggior approfondimento delle materie farmacologiche, dal momento in cui venisse approvato il potere</w:t>
      </w:r>
      <w:r w:rsidR="00C05995">
        <w:rPr>
          <w:rFonts w:ascii="Times New Roman" w:hAnsi="Times New Roman" w:cs="Times New Roman"/>
          <w:sz w:val="24"/>
        </w:rPr>
        <w:t xml:space="preserve"> prescrizionale infermieristico, e vi è stato un 98,8 % dei candidati che ha sostenuto “SI”.</w:t>
      </w:r>
    </w:p>
    <w:p w:rsidR="00C05995" w:rsidRPr="008F5102" w:rsidRDefault="00C05995" w:rsidP="008F51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Infine il decimo quesito riguarda le considerazioni personali finali.</w:t>
      </w:r>
      <w:bookmarkStart w:id="0" w:name="_GoBack"/>
      <w:bookmarkEnd w:id="0"/>
    </w:p>
    <w:sectPr w:rsidR="00C05995" w:rsidRPr="008F5102" w:rsidSect="001B2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0F9"/>
    <w:multiLevelType w:val="hybridMultilevel"/>
    <w:tmpl w:val="A034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0498"/>
    <w:rsid w:val="001A2335"/>
    <w:rsid w:val="001B2C82"/>
    <w:rsid w:val="00220498"/>
    <w:rsid w:val="00336DD5"/>
    <w:rsid w:val="005728DD"/>
    <w:rsid w:val="007775E9"/>
    <w:rsid w:val="00850B0D"/>
    <w:rsid w:val="008E6DD4"/>
    <w:rsid w:val="008F5102"/>
    <w:rsid w:val="00992F24"/>
    <w:rsid w:val="009F2366"/>
    <w:rsid w:val="00B96BFA"/>
    <w:rsid w:val="00C05995"/>
    <w:rsid w:val="00C81046"/>
    <w:rsid w:val="00C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1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plotArea>
      <c:layout>
        <c:manualLayout>
          <c:layoutTarget val="inner"/>
          <c:xMode val="edge"/>
          <c:yMode val="edge"/>
          <c:x val="0.30730570137066227"/>
          <c:y val="0.21228908886389217"/>
          <c:w val="0.40170439632545946"/>
          <c:h val="0.68863610798650177"/>
        </c:manualLayout>
      </c:layout>
      <c:doughnut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Età dell'intervistato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A4-43DF-820F-6E1FB101DC94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A4-43DF-820F-6E1FB101DC94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A4-43DF-820F-6E1FB101DC94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5A4-43DF-820F-6E1FB101DC94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5A4-43DF-820F-6E1FB101DC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Foglio1!$A$2:$A$6</c:f>
              <c:strCache>
                <c:ptCount val="5"/>
                <c:pt idx="0">
                  <c:v>18 - 22</c:v>
                </c:pt>
                <c:pt idx="1">
                  <c:v>22 - 32</c:v>
                </c:pt>
                <c:pt idx="2">
                  <c:v>32 - 42</c:v>
                </c:pt>
                <c:pt idx="3">
                  <c:v>42 - 55</c:v>
                </c:pt>
                <c:pt idx="4">
                  <c:v>&gt; 55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22.4</c:v>
                </c:pt>
                <c:pt idx="1">
                  <c:v>67.099999999999994</c:v>
                </c:pt>
                <c:pt idx="2">
                  <c:v>7.1</c:v>
                </c:pt>
                <c:pt idx="3">
                  <c:v>1.2</c:v>
                </c:pt>
                <c:pt idx="4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12-4E91-9037-159813C7D4B9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Sapresti applicare conoscenze farmacologiche ai vari contesti etio-patologici?</c:v>
                </c:pt>
              </c:strCache>
            </c:strRef>
          </c:tx>
          <c:dPt>
            <c:idx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77-4146-96CA-494DCAB3A8C7}"/>
              </c:ext>
            </c:extLst>
          </c:dPt>
          <c:dPt>
            <c:idx val="1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77-4146-96CA-494DCAB3A8C7}"/>
              </c:ext>
            </c:extLst>
          </c:dPt>
          <c:dPt>
            <c:idx val="2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77-4146-96CA-494DCAB3A8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Foglio1!$A$2:$A$4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NON LO SO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51.8</c:v>
                </c:pt>
                <c:pt idx="1">
                  <c:v>16.5</c:v>
                </c:pt>
                <c:pt idx="2">
                  <c:v>31.8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D-401E-B2F8-104EF1BD26A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Secondo lei, il potere prescrizione infermieristico può essere causa ripercussioni</a:t>
            </a:r>
            <a:r>
              <a:rPr lang="en-US" baseline="0"/>
              <a:t> su tutte le altre professioni sanitarie?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Vendite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C8-421D-980A-626A5179490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C8-421D-980A-626A5179490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C8-421D-980A-626A517949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Foglio1!$A$2:$A$4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NON LO SO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37.6</c:v>
                </c:pt>
                <c:pt idx="1">
                  <c:v>48.2</c:v>
                </c:pt>
                <c:pt idx="2">
                  <c:v>14.1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DE-49B8-A718-DEFBDD3B5B1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2018-03-31T10:50:00Z</dcterms:created>
  <dcterms:modified xsi:type="dcterms:W3CDTF">2018-03-31T10:50:00Z</dcterms:modified>
</cp:coreProperties>
</file>